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r>
    </w:p>
    <w:p w:rsidR="00000000" w:rsidDel="00000000" w:rsidP="00000000" w:rsidRDefault="00000000" w:rsidRPr="00000000" w14:paraId="00000002">
      <w:pPr>
        <w:spacing w:line="240" w:lineRule="auto"/>
        <w:jc w:val="center"/>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“GREAT GRACE WAS UPON THEM ALL”</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Acts 4:32–37</w:t>
      </w:r>
    </w:p>
    <w:p w:rsidR="00000000" w:rsidDel="00000000" w:rsidP="00000000" w:rsidRDefault="00000000" w:rsidRPr="00000000" w14:paraId="00000006">
      <w:pPr>
        <w:spacing w:line="240" w:lineRule="auto"/>
        <w:rPr/>
      </w:pPr>
      <w:r w:rsidDel="00000000" w:rsidR="00000000" w:rsidRPr="00000000">
        <w:rPr>
          <w:rtl w:val="0"/>
        </w:rPr>
        <w:t xml:space="preserve">Key Verse: 4:33</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What is “the full number” of those who believed (32a)? What does it mean that they are “of one heart and soul”? How do they regard the things they own (32b)? How are they an example for us?</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Read verse 33. How else are these believers described? How does this account for the nature of their community? What can we learn here?</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What illustrates the “great grace upon them all” (34–35)? What is the significance that the proceeds are “laid at the apostles’ feet”? Why is sharing possessions an important part of Christian community?</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D">
      <w:pPr>
        <w:spacing w:line="240" w:lineRule="auto"/>
        <w:ind w:left="0" w:firstLine="0"/>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Who does the author mention as an example of such giving (36–37)? Why do the apostles call him “Barnabas”? How would God use this man in the future?</w:t>
      </w:r>
      <w:r w:rsidDel="00000000" w:rsidR="00000000" w:rsidRPr="00000000">
        <w:rPr>
          <w:vertAlign w:val="superscript"/>
        </w:rPr>
        <w:footnoteReference w:customMarkFollows="0" w:id="1"/>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Gal.6:10; 1 John 3:16–18.</w:t>
      </w:r>
    </w:p>
  </w:footnote>
  <w:footnote w:id="1">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9:27; 11:22,25,30; 12:25; 13:2.</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