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BEHOLD MY SERVANT (Part 2)</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Isaiah 52:13–53:12</w:t>
      </w:r>
    </w:p>
    <w:p w:rsidR="00000000" w:rsidDel="00000000" w:rsidP="00000000" w:rsidRDefault="00000000" w:rsidRPr="00000000" w14:paraId="00000006">
      <w:pPr>
        <w:spacing w:line="240" w:lineRule="auto"/>
        <w:rPr/>
      </w:pPr>
      <w:r w:rsidDel="00000000" w:rsidR="00000000" w:rsidRPr="00000000">
        <w:rPr>
          <w:rtl w:val="0"/>
        </w:rPr>
        <w:t xml:space="preserve">Key Verse: 52:13</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In the introduction (52:13–15), what astonishing contrast about the servant is described, and what impact on the world will he have?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Review Isaiah’s words about “the arm of the LORD” (51:5,9; 52:10; 53:1). How does this expression point to the servant’s work? What questions are asked and why (53:1)?</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What did the servant’s human condition look like (2)? What did he experience (3)? Why did men despise and reject him? Why did God make him “a man of sorrows” (4a)?</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How did people misunderstand (4b)? What did they do to him (5a)? What do “transgressions” and “iniquities” mean? What was the purpose of his suffering (5b–6)?</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else is said about the servant (7)? What does it tell us about him? What did his death mean, and how did people respond (8)? What last detail is given (9)?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u w:val="none"/>
        </w:rPr>
      </w:pPr>
      <w:r w:rsidDel="00000000" w:rsidR="00000000" w:rsidRPr="00000000">
        <w:rPr>
          <w:rtl w:val="0"/>
        </w:rPr>
        <w:t xml:space="preserve"> What was God doing (10)? What else is said about the servant (11)? What would God do for him, and why (12a)? How does his ministry continue (12b)? </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rtl w:val="0"/>
        </w:rPr>
        <w:t xml:space="preserve"> How were these prophecies fulfilled through the death of Jesus (John 1:29; 1Pet.2:24; 2Cor.5:21)? What can we learn through this servant song about ourselves and about God? How can we “behold” God’s Servant, Jesus practically?</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